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1"/>
        <w:widowControl w:val="1"/>
        <w:pBdr>
          <w:top w:space="0" w:sz="0" w:val="nil"/>
          <w:left w:space="0" w:sz="0" w:val="nil"/>
          <w:bottom w:space="0" w:sz="0" w:val="nil"/>
          <w:right w:space="0" w:sz="0" w:val="nil"/>
          <w:between w:space="0" w:sz="0" w:val="nil"/>
        </w:pBdr>
        <w:shd w:fill="auto" w:val="clear"/>
        <w:spacing w:after="240" w:before="360" w:line="276" w:lineRule="auto"/>
        <w:ind w:left="0" w:right="0" w:firstLine="0"/>
        <w:jc w:val="left"/>
        <w:rPr>
          <w:rFonts w:ascii="Times New Roman" w:cs="Times New Roman" w:eastAsia="Times New Roman" w:hAnsi="Times New Roman"/>
          <w:b w:val="1"/>
          <w:i w:val="1"/>
          <w:smallCaps w:val="0"/>
          <w:strike w:val="0"/>
          <w:color w:val="1f497d"/>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32"/>
          <w:szCs w:val="32"/>
          <w:u w:val="none"/>
          <w:shd w:fill="auto" w:val="clear"/>
          <w:vertAlign w:val="baseline"/>
          <w:rtl w:val="0"/>
        </w:rPr>
        <w:t xml:space="preserve">Debiti formativi</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chiusura d’anno ogni il docente consegna agli alunni con debito gli obiettivi minimi disciplinari su cui impostare gli interventi di recupero estivi correlati di eserciziario e testi in base ai quali svolgere le prove di recupero.</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Elementi organizzativi per i corsi di recupero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Saranno composti gruppi interclasse di studenti sulle principali discipline (matematica, lingue, italiano, discipline di settore, motivatamente anche altre materie)</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Gli studenti con giudizi sospesi frequenteranno corsi di recupero che saranno proposti </w:t>
      </w:r>
      <w:r w:rsidDel="00000000" w:rsidR="00000000" w:rsidRPr="00000000">
        <w:rPr>
          <w:rFonts w:ascii="Times New Roman" w:cs="Times New Roman" w:eastAsia="Times New Roman" w:hAnsi="Times New Roman"/>
          <w:sz w:val="24"/>
          <w:szCs w:val="24"/>
          <w:rtl w:val="0"/>
        </w:rPr>
        <w:t xml:space="preserve">nel periodo seconda metà di giugno – prima metà di luglio.</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rove di verifica del recupero</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Il Collegio delibera a maggioranza di svolgere tutte le prove entro il 20 luglio per tutti</w:t>
      </w:r>
      <w:r w:rsidDel="00000000" w:rsidR="00000000" w:rsidRPr="00000000">
        <w:rPr>
          <w:rFonts w:ascii="Times New Roman" w:cs="Times New Roman" w:eastAsia="Times New Roman" w:hAnsi="Times New Roman"/>
          <w:sz w:val="24"/>
          <w:szCs w:val="24"/>
          <w:rtl w:val="0"/>
        </w:rPr>
        <w:t xml:space="preserve">; g</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 scrutini di ammissione si svolgeranno dopo le prove.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 Collegio delibera a maggioranza di svolgere per il biennio il solo colloquio nell'accertamento del livello delle lacune da colmare essendo questi nell'obbligo scolastico (ciò vale anche per gli studenti che svolgono le prove per accedere alla classe terza). Per quanto riguarda l'accertamento del livello delle lacune da colmare per il triennio il Collegio all’unanimità delibera che vengano svolte prove scritte e orali per le discipline dove è previsto.</w:t>
      </w:r>
    </w:p>
    <w:p w:rsidR="00000000" w:rsidDel="00000000" w:rsidP="00000000" w:rsidRDefault="00000000" w:rsidRPr="00000000" w14:paraId="00000009">
      <w:pPr>
        <w:widowControl w:val="0"/>
        <w:spacing w:after="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1"/>
          <w:sz w:val="24"/>
          <w:szCs w:val="24"/>
          <w:rtl w:val="0"/>
        </w:rPr>
        <w:t xml:space="preserve">Delibera n. 60 verbale 4 del Collegio dei Docenti del 21 novembre 2024</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0A">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widowControl w:val="0"/>
        <w:spacing w:after="0"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Elementi educativi e di sistema per il superamento dei debiti</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La partecipazione e l’impegno manifestato durante i corsi di recupero costituirà elemento importante di valutazione per l’ammissione alla classe successiva </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276" w:lineRule="auto"/>
        <w:ind w:left="360" w:right="0" w:hanging="360"/>
        <w:jc w:val="both"/>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docenti dei corsi di recupero faranno riferimento alle indicazioni del docente d’anno e le prove di chiusura d’anno per la soluzione-debito saranno fondate su quanto pre-indicato</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 riferimento all’attribuzione del credito scolastico nelle classi non terminali, restano ferme le disposizioni di cui all’articolo 15, comma 2, del decreto legislativo 13 aprile 2017, n. 62.</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502"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Nel caso in cui il voto di profitto dell’</w:t>
      </w:r>
      <w:r w:rsidDel="00000000" w:rsidR="00000000" w:rsidRPr="00000000">
        <w:rPr>
          <w:rFonts w:ascii="Times New Roman" w:cs="Times New Roman" w:eastAsia="Times New Roman" w:hAnsi="Times New Roman"/>
          <w:sz w:val="24"/>
          <w:szCs w:val="24"/>
          <w:u w:val="single"/>
          <w:rtl w:val="0"/>
        </w:rPr>
        <w:t xml:space="preserve">insegnamento trasversale di Educazione civica </w:t>
      </w:r>
      <w:r w:rsidDel="00000000" w:rsidR="00000000" w:rsidRPr="00000000">
        <w:rPr>
          <w:rFonts w:ascii="Times New Roman" w:cs="Times New Roman" w:eastAsia="Times New Roman" w:hAnsi="Times New Roman"/>
          <w:sz w:val="24"/>
          <w:szCs w:val="24"/>
          <w:rtl w:val="0"/>
        </w:rPr>
        <w:t xml:space="preserve">sia inferiore ai sei decimi, opera, in analogia alle altre discipline, l’istituto della sospensione del giudizio di cui all’articolo 4, comma 6 del d.P.R. n. 122 del 2009. L’accertamento del recupero delle carenze formative relativo all’Educazione civica è affidato, collegialmente, a tutti i docenti che hanno impartito l’insegnamento nella classe, secondo il progetto d’Istituto. Per procedere alla valutazione finale dello studente, le istituzioni scolastiche possono stabilire, per casi eccezionali, motivate e straordinarie deroghe rispetto al requisito di frequenza di cui all’articolo 14, comma 7 del d.P.R. n. 122 del 2009, anche con riferimento alle specifiche situazioni dovute all’emergenza pandemica.</w:t>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color w:val="000000"/>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IT"/>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217238"/>
  </w:style>
  <w:style w:type="paragraph" w:styleId="Titolo2">
    <w:name w:val="heading 2"/>
    <w:basedOn w:val="Normale"/>
    <w:next w:val="Normale"/>
    <w:link w:val="Titolo2Carattere"/>
    <w:uiPriority w:val="9"/>
    <w:semiHidden w:val="1"/>
    <w:unhideWhenUsed w:val="1"/>
    <w:qFormat w:val="1"/>
    <w:rsid w:val="00B0329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miocorpotesto" w:customStyle="1">
    <w:name w:val="mio_corpo_testo"/>
    <w:basedOn w:val="Corpotesto"/>
    <w:rsid w:val="00B03299"/>
    <w:pPr>
      <w:suppressAutoHyphens w:val="1"/>
      <w:spacing w:line="276" w:lineRule="auto"/>
      <w:jc w:val="both"/>
    </w:pPr>
    <w:rPr>
      <w:rFonts w:ascii="Times New Roman" w:cs="Times New Roman" w:eastAsia="Times New Roman" w:hAnsi="Times New Roman"/>
      <w:sz w:val="24"/>
      <w:szCs w:val="20"/>
      <w:lang w:eastAsia="zh-CN"/>
    </w:rPr>
  </w:style>
  <w:style w:type="paragraph" w:styleId="mioelencopunt" w:customStyle="1">
    <w:name w:val="mio_elenco_punt"/>
    <w:basedOn w:val="miocorpotesto"/>
    <w:rsid w:val="00B03299"/>
    <w:pPr>
      <w:numPr>
        <w:numId w:val="1"/>
      </w:numPr>
      <w:tabs>
        <w:tab w:val="num" w:pos="502"/>
      </w:tabs>
      <w:ind w:left="502"/>
    </w:pPr>
  </w:style>
  <w:style w:type="paragraph" w:styleId="miotitolo2" w:customStyle="1">
    <w:name w:val="mio_titolo 2"/>
    <w:basedOn w:val="Titolo2"/>
    <w:rsid w:val="00B03299"/>
    <w:pPr>
      <w:keepLines w:val="0"/>
      <w:suppressAutoHyphens w:val="1"/>
      <w:spacing w:after="240" w:before="360" w:line="276" w:lineRule="auto"/>
    </w:pPr>
    <w:rPr>
      <w:rFonts w:ascii="Times New Roman" w:cs="Times New Roman" w:eastAsia="Times New Roman" w:hAnsi="Times New Roman"/>
      <w:b w:val="1"/>
      <w:i w:val="1"/>
      <w:color w:val="1f497d"/>
      <w:sz w:val="32"/>
      <w:szCs w:val="28"/>
      <w:lang w:eastAsia="zh-CN"/>
    </w:rPr>
  </w:style>
  <w:style w:type="paragraph" w:styleId="Corpotesto">
    <w:name w:val="Body Text"/>
    <w:basedOn w:val="Normale"/>
    <w:link w:val="CorpotestoCarattere"/>
    <w:uiPriority w:val="99"/>
    <w:semiHidden w:val="1"/>
    <w:unhideWhenUsed w:val="1"/>
    <w:rsid w:val="00B03299"/>
    <w:pPr>
      <w:spacing w:after="120"/>
    </w:pPr>
  </w:style>
  <w:style w:type="character" w:styleId="CorpotestoCarattere" w:customStyle="1">
    <w:name w:val="Corpo testo Carattere"/>
    <w:basedOn w:val="Carpredefinitoparagrafo"/>
    <w:link w:val="Corpotesto"/>
    <w:uiPriority w:val="99"/>
    <w:semiHidden w:val="1"/>
    <w:rsid w:val="00B03299"/>
  </w:style>
  <w:style w:type="character" w:styleId="Titolo2Carattere" w:customStyle="1">
    <w:name w:val="Titolo 2 Carattere"/>
    <w:basedOn w:val="Carpredefinitoparagrafo"/>
    <w:link w:val="Titolo2"/>
    <w:uiPriority w:val="9"/>
    <w:semiHidden w:val="1"/>
    <w:rsid w:val="00B03299"/>
    <w:rPr>
      <w:rFonts w:asciiTheme="majorHAnsi" w:cstheme="majorBidi" w:eastAsiaTheme="majorEastAsia" w:hAnsiTheme="majorHAnsi"/>
      <w:color w:val="2e74b5" w:themeColor="accent1" w:themeShade="0000BF"/>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kInEn+Jp/Q04RjMm0DKzqleRbQ==">CgMxLjA4AHIhMWFrdmVuaVR6VFdLeHhnTjVCUnRnZTRtTDhWU21ZU0Uz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2018-12-28T15:17:00Z</dcterms:created>
  <dc:creator>Roberto Levati</dc:creator>
</cp:coreProperties>
</file>